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jc w:val="center"/>
      </w:pPr>
      <w:r>
        <w:rPr>
          <w:sz w:val="24"/>
        </w:rPr>
        <w:t xml:space="preserve">ЦЕНТРАЛЬНЫЙ БАНК РОССИЙСКОЙ ФЕДЕРАЦИИ</w:t>
      </w:r>
    </w:p>
    <w:p>
      <w:pPr>
        <w:pStyle w:val="2"/>
        <w:jc w:val="center"/>
      </w:pPr>
      <w:r>
        <w:rPr>
          <w:sz w:val="24"/>
        </w:rPr>
      </w:r>
    </w:p>
    <w:p>
      <w:pPr>
        <w:pStyle w:val="2"/>
        <w:jc w:val="center"/>
      </w:pPr>
      <w:r>
        <w:rPr>
          <w:sz w:val="24"/>
        </w:rPr>
        <w:t xml:space="preserve">ИНФОРМАЦИЯ</w:t>
      </w:r>
    </w:p>
    <w:p>
      <w:pPr>
        <w:pStyle w:val="2"/>
        <w:jc w:val="center"/>
      </w:pPr>
      <w:r>
        <w:rPr>
          <w:sz w:val="24"/>
        </w:rPr>
        <w:t xml:space="preserve">от 25 апреля 2025 года</w:t>
      </w:r>
    </w:p>
    <w:p>
      <w:pPr>
        <w:pStyle w:val="2"/>
        <w:ind w:firstLine="540"/>
        <w:jc w:val="both"/>
      </w:pPr>
      <w:r>
        <w:rPr>
          <w:sz w:val="24"/>
        </w:rPr>
      </w:r>
    </w:p>
    <w:p>
      <w:pPr>
        <w:pStyle w:val="2"/>
        <w:jc w:val="center"/>
      </w:pPr>
      <w:r>
        <w:rPr>
          <w:sz w:val="24"/>
        </w:rPr>
        <w:t xml:space="preserve">БАНК РОССИИ ПРИНЯЛ РЕШЕНИЕ</w:t>
      </w:r>
    </w:p>
    <w:p>
      <w:pPr>
        <w:pStyle w:val="2"/>
        <w:jc w:val="center"/>
      </w:pPr>
      <w:r>
        <w:rPr>
          <w:sz w:val="24"/>
        </w:rPr>
        <w:t xml:space="preserve">СОХРАНИТЬ КЛЮЧЕВУЮ СТАВКУ НА УРОВНЕ 21,00% ГОДОВЫХ</w:t>
      </w:r>
    </w:p>
    <w:p>
      <w:pPr>
        <w:pStyle w:val="0"/>
        <w:ind w:firstLine="540"/>
        <w:jc w:val="both"/>
      </w:pPr>
      <w:r>
        <w:rPr>
          <w:sz w:val="24"/>
        </w:rPr>
      </w:r>
    </w:p>
    <w:p>
      <w:pPr>
        <w:pStyle w:val="0"/>
        <w:ind w:firstLine="540"/>
        <w:jc w:val="both"/>
      </w:pPr>
      <w:r>
        <w:rPr>
          <w:sz w:val="24"/>
        </w:rPr>
        <w:t xml:space="preserve">Совет директоров Банка России 25 апреля 2025 года принял решение сохранить </w:t>
      </w:r>
      <w:hyperlink w:history="0" r:id="rId6" w:tooltip="Информационное сообщение Банка России от 25.10.2024 &quot;Банк России принял решение повысить ключевую ставку на 200 б.п., до 21,00% годовых&quot; {КонсультантПлюс}">
        <w:r>
          <w:rPr>
            <w:sz w:val="24"/>
            <w:color w:val="0000ff"/>
          </w:rPr>
          <w:t xml:space="preserve">ключевую ставку</w:t>
        </w:r>
      </w:hyperlink>
      <w:r>
        <w:rPr>
          <w:sz w:val="24"/>
        </w:rPr>
        <w:t xml:space="preserve"> на уровне 21,00% годовых. Текущее инфляционное давление, в том числе устойчивое, продолжает снижаться, хотя и остается высоким. Рост внутреннего спроса по-прежнему значительно опережает возможности расширения предложения товаров и услуг. Вместе с тем, по оперативным данным, экономика начала постепенно возвращаться к траектории сбалансированного роста.</w:t>
      </w:r>
    </w:p>
    <w:p>
      <w:pPr>
        <w:pStyle w:val="0"/>
        <w:spacing w:before="240" w:line-rule="auto"/>
        <w:ind w:firstLine="540"/>
        <w:jc w:val="both"/>
      </w:pPr>
      <w:r>
        <w:rPr>
          <w:sz w:val="24"/>
        </w:rPr>
        <w:t xml:space="preserve">Банк России будет поддерживать такую жесткость денежно-кредитных условий, которая необходима для возвращения инфляции к цели в 2026 году. Это означает продолжительный период проведения жесткой денежно-кредитной политики. Дальнейшие решения по ключевой ставке будут приниматься в зависимости от скорости и устойчивости снижения инфляции и инфляционных ожиданий. В рамках базового сценария это предполагает среднюю ключевую ставку в диапазоне 19,5 - 21,5% годовых в 2025 году и 13,0 - 14,0% годовых в 2026 году. По прогнозу Банка России, с учетом проводимой денежно-кредитной политики годовая инфляция снизится до 7,0 - 8,0% в 2025 году, вернется к 4,0% в 2026 году и будет находиться на цели в дальнейшем.</w:t>
      </w:r>
    </w:p>
    <w:p>
      <w:pPr>
        <w:pStyle w:val="0"/>
        <w:spacing w:before="240" w:line-rule="auto"/>
        <w:ind w:firstLine="540"/>
        <w:jc w:val="both"/>
      </w:pPr>
      <w:r>
        <w:rPr>
          <w:sz w:val="24"/>
        </w:rPr>
        <w:t xml:space="preserve">В 1к25 текущий рост цен с поправкой на сезонность снизился и составил в среднем 8,3% в пересчете на год после 12,9% в 4к24. Аналогичный показатель базовой инфляции составил в среднем 8,9% после 13,4% в предыдущем квартале. В снижении инфляционного давления все больше проявляется влияние жестких денежно-кредитных условий на спрос. Однако пока преждевременно судить об устойчивости складывающихся тенденций. Годовая инфляция, по оценке на 21 апреля, составила 10,3%.</w:t>
      </w:r>
    </w:p>
    <w:p>
      <w:pPr>
        <w:pStyle w:val="0"/>
        <w:spacing w:before="240" w:line-rule="auto"/>
        <w:ind w:firstLine="540"/>
        <w:jc w:val="both"/>
      </w:pPr>
      <w:r>
        <w:rPr>
          <w:sz w:val="24"/>
        </w:rPr>
        <w:t xml:space="preserve">Инфляционные ожидания населения, бизнеса, а также участников финансового рынка с марта существенно не изменились. В целом инфляционные ожидания сохраняются на повышенном уровне. Это препятствует более быстрому замедлению инфляции.</w:t>
      </w:r>
    </w:p>
    <w:p>
      <w:pPr>
        <w:pStyle w:val="0"/>
        <w:spacing w:before="240" w:line-rule="auto"/>
        <w:ind w:firstLine="540"/>
        <w:jc w:val="both"/>
      </w:pPr>
      <w:r>
        <w:rPr>
          <w:sz w:val="24"/>
        </w:rPr>
        <w:t xml:space="preserve">В базовом сценарии Банк России ожидает, что в ближайшие месяцы инфляционное давление продолжит снижаться. Этому будет способствовать охлаждение кредитования и высокая сберегательная активность.</w:t>
      </w:r>
    </w:p>
    <w:p>
      <w:pPr>
        <w:pStyle w:val="0"/>
        <w:spacing w:before="240" w:line-rule="auto"/>
        <w:ind w:firstLine="540"/>
        <w:jc w:val="both"/>
      </w:pPr>
      <w:r>
        <w:rPr>
          <w:sz w:val="24"/>
        </w:rPr>
        <w:t xml:space="preserve">Отклонение российской экономики вверх от траектории сбалансированного роста остается значительным. Высокий внутренний спрос поддерживается ростом доходов населения и бюджетными расходами. В то же время оперативные данные и опросы предприятий говорят о том, что в 1к25 рост экономической активности замедлился по сравнению с 4к24.</w:t>
      </w:r>
    </w:p>
    <w:p>
      <w:pPr>
        <w:pStyle w:val="0"/>
        <w:spacing w:before="240" w:line-rule="auto"/>
        <w:ind w:firstLine="540"/>
        <w:jc w:val="both"/>
      </w:pPr>
      <w:r>
        <w:rPr>
          <w:sz w:val="24"/>
        </w:rPr>
        <w:t xml:space="preserve">Рынок труда пока остается жестким. Безработица находится на исторических минимумах. Однако, по данным опросов, доля предприятий, испытывающих дефицит кадров, постепенно снижается во многих регионах. Кроме того, наблюдаются уменьшение спроса на рабочую силу в отдельных отраслях и ее переток в другие секторы. Рост зарплат остается высоким и продолжает опережать рост производительности труда. В то же время компании, по данным опросов, планируют более умеренные индексации зарплат в 2025 году по сравнению с 2023 - 2024 годами.</w:t>
      </w:r>
    </w:p>
    <w:p>
      <w:pPr>
        <w:pStyle w:val="0"/>
        <w:spacing w:before="240" w:line-rule="auto"/>
        <w:ind w:firstLine="540"/>
        <w:jc w:val="both"/>
      </w:pPr>
      <w:r>
        <w:rPr>
          <w:sz w:val="24"/>
        </w:rPr>
        <w:t xml:space="preserve">Денежно-кредитные условия остаются жесткими под влиянием проводимой денежно-кредитной политики и автономных факторов. С марта номинальные процентные ставки изменились разнонаправленно в различных сегментах финансового рынка. Неценовые условия банковского кредитования по-прежнему жесткие.</w:t>
      </w:r>
    </w:p>
    <w:p>
      <w:pPr>
        <w:pStyle w:val="0"/>
        <w:spacing w:before="240" w:line-rule="auto"/>
        <w:ind w:firstLine="540"/>
        <w:jc w:val="both"/>
      </w:pPr>
      <w:r>
        <w:rPr>
          <w:sz w:val="24"/>
        </w:rPr>
        <w:t xml:space="preserve">Несмотря на некоторое уменьшение депозитных ставок, сохраняется высокая склонность домашних хозяйств к сбережению. При этом рост доходов позволяет населению одновременно наращивать сбережения и потребление. Кредитная активность остается сдержанной как в розничном, так и в корпоративном сегменте.</w:t>
      </w:r>
    </w:p>
    <w:p>
      <w:pPr>
        <w:pStyle w:val="0"/>
        <w:spacing w:before="240" w:line-rule="auto"/>
        <w:ind w:firstLine="540"/>
        <w:jc w:val="both"/>
      </w:pPr>
      <w:r>
        <w:rPr>
          <w:sz w:val="24"/>
        </w:rPr>
        <w:t xml:space="preserve">На среднесрочном горизонте баланс рисков для инфляции по-прежнему смещен в сторону проинфляционных. Основные проинфляционные риски связаны с более длительным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Дальнейшее снижение темпов роста мировой экономики и цен на нефть в случае усиления торговых противоречий может иметь проинфляционные эффекты через динамику курса рубля. 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 Дезинфляционное влияние может иметь и улучшение внешних условий в случае снижения геополитической напряженности.</w:t>
      </w:r>
    </w:p>
    <w:p>
      <w:pPr>
        <w:pStyle w:val="0"/>
        <w:spacing w:before="240" w:line-rule="auto"/>
        <w:ind w:firstLine="540"/>
        <w:jc w:val="both"/>
      </w:pPr>
      <w:r>
        <w:rPr>
          <w:sz w:val="24"/>
        </w:rPr>
        <w:t xml:space="preserve">Банк России исходит из объявленных параметров бюджетной политики. Ее нормализация в 2025 году будет иметь дезинфляционный эффект. Изменение параметров бюджетной политики может потребовать корректировки проводимой денежно-кредитной политики.</w:t>
      </w:r>
    </w:p>
    <w:p>
      <w:pPr>
        <w:pStyle w:val="0"/>
        <w:spacing w:before="240" w:line-rule="auto"/>
        <w:ind w:firstLine="540"/>
        <w:jc w:val="both"/>
      </w:pPr>
      <w:r>
        <w:rPr>
          <w:sz w:val="24"/>
        </w:rPr>
        <w:t xml:space="preserve">По итогам заседания Совета директоров по ключевой ставке 25 апреля 2025 года Банк России обновил </w:t>
      </w:r>
      <w:hyperlink w:history="0" r:id="rId7" w:tooltip="&quot;Среднесрочный прогноз Банка России по итогам заседания Совета директоров по ключевой ставке 25 апреля 2025 года&quot; (разработан Банком России) {КонсультантПлюс}">
        <w:r>
          <w:rPr>
            <w:sz w:val="24"/>
            <w:color w:val="0000ff"/>
          </w:rPr>
          <w:t xml:space="preserve">среднесрочный прогноз</w:t>
        </w:r>
      </w:hyperlink>
      <w:r>
        <w:rPr>
          <w:sz w:val="24"/>
        </w:rPr>
        <w:t xml:space="preserve">.</w:t>
      </w:r>
    </w:p>
    <w:p>
      <w:pPr>
        <w:pStyle w:val="0"/>
        <w:spacing w:before="240" w:line-rule="auto"/>
        <w:ind w:firstLine="540"/>
        <w:jc w:val="both"/>
      </w:pPr>
      <w:r>
        <w:rPr>
          <w:sz w:val="24"/>
        </w:rPr>
        <w:t xml:space="preserve">12 мая 2025 года Банк России опубликует Резюме обсуждения ключевой ставки и Комментарий к среднесрочному прогнозу.</w:t>
      </w:r>
    </w:p>
    <w:p>
      <w:pPr>
        <w:pStyle w:val="0"/>
        <w:spacing w:before="240" w:line-rule="auto"/>
        <w:ind w:firstLine="540"/>
        <w:jc w:val="both"/>
      </w:pPr>
      <w:r>
        <w:rPr>
          <w:sz w:val="24"/>
        </w:rPr>
        <w:t xml:space="preserve">Следующее заседание Совета директоров Банка России, на котором будет рассматриваться вопрос об уровне ключевой ставки, запланировано на 6 июня 2025 года. Время публикации пресс-релиза о решении Совета директоров Банка России - 13:30 по московскому времени.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&lt;Информация&gt; Банка России от 25.04.2025</w:t>
            <w:br/>
            <w:t>"Банк России принял решение сохранить ключевую ставку на уровне 21,00% годовых"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&lt;Информация&gt; Банка России от 25.04.2025 "Банк России принял решение сохранить ключевую ставку на уровне 21,00% годовых"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88957&amp;date=28.04.2025&amp;dst=100004&amp;field=134" TargetMode = "External"/>
	<Relationship Id="rId7" Type="http://schemas.openxmlformats.org/officeDocument/2006/relationships/hyperlink" Target="https://login.consultant.ru/link/?req=doc&amp;base=LAW&amp;n=504017&amp;date=28.04.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&lt;Информация&gt; Банка России от 25.04.2025
"Банк России принял решение сохранить ключевую ставку на уровне 21,00% годовых"</dc:title>
  <dcterms:created xsi:type="dcterms:W3CDTF">2025-04-28T04:26:59Z</dcterms:created>
</cp:coreProperties>
</file>