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7 августа 2025 г. N 46420-ЕБ/08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Федеральной налоговой службы по вопросу разъяснения градостроительного законодательства и сообщает следующее.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6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4"/>
            <w:color w:val="0000ff"/>
          </w:rPr>
          <w:t xml:space="preserve">Положению</w:t>
        </w:r>
      </w:hyperlink>
      <w:r>
        <w:rPr>
          <w:sz w:val="24"/>
        </w:rP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1038, Минстрой России осуществляет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планирования). Разъяснение правоприменительных практик не входит в компетенцию Минстроя России. Минстрой России не уполномочен давать оценку индивидуальных проектных решений.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считаем возможным сообщить следующее.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пунктом 10 статьи 1</w:t>
        </w:r>
      </w:hyperlink>
      <w:r>
        <w:rPr>
          <w:sz w:val="24"/>
        </w:rPr>
        <w:t xml:space="preserve"> Градостроительного кодекса Российской Федерации (далее - ГрК РФ) 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другие).</w:t>
      </w:r>
    </w:p>
    <w:p>
      <w:pPr>
        <w:pStyle w:val="0"/>
        <w:spacing w:before="240" w:line-rule="auto"/>
        <w:ind w:firstLine="540"/>
        <w:jc w:val="both"/>
      </w:pP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Пунктом 10.2 статьи 1</w:t>
        </w:r>
      </w:hyperlink>
      <w:r>
        <w:rPr>
          <w:sz w:val="24"/>
        </w:rPr>
        <w:t xml:space="preserve"> ГрК РФ предусмотрено, что 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9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части 1.2 статьи 52</w:t>
        </w:r>
      </w:hyperlink>
      <w:r>
        <w:rPr>
          <w:sz w:val="24"/>
        </w:rPr>
        <w:t xml:space="preserve"> ГрК РФ строительство, реконструкция, капитальный ремонт объектов капитального строительства осуществляется в соответствии с проектной документацией, рабочей документацией, если иное не предусмотрено </w:t>
      </w:r>
      <w:hyperlink w:history="0" r:id="rId10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частью 1.4 статьи 48</w:t>
        </w:r>
      </w:hyperlink>
      <w:r>
        <w:rPr>
          <w:sz w:val="24"/>
        </w:rPr>
        <w:t xml:space="preserve"> ГрК РФ.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Идентификация зданий и сооружений (объектов капитального строительства) при подготовке проектной документации осуществляется в соответствии с требованиями </w:t>
      </w:r>
      <w:hyperlink w:history="0" r:id="rId1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4"/>
            <w:color w:val="0000ff"/>
          </w:rPr>
          <w:t xml:space="preserve">статьи 4</w:t>
        </w:r>
      </w:hyperlink>
      <w:r>
        <w:rPr>
          <w:sz w:val="24"/>
        </w:rPr>
        <w:t xml:space="preserve"> Федерального закона от 30 декабря 2009 г. N 384-ФЗ "Технический регламент о безопасности зданий и сооружений", и относится к прерогативе застройщика (заказчика).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Идентификационные признаки зданий и сооружений должны быть определены и указаны застройщиком (техническим заказчиком) в задании на выполнение инженерных изысканий, а также в задании на проектирование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на основании </w:t>
      </w:r>
      <w:hyperlink w:history="0" r:id="rId12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года N 87 "О составе разделов проектной документации и требованиях к их содержанию", в соответствии со </w:t>
      </w:r>
      <w:hyperlink w:history="0" r:id="rId13" w:tooltip="&quot;Градостроительный кодекс Российской Федерации&quot; от 29.12.2004 N 190-ФЗ (ред. от 31.07.2025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ГрК РФ установлена необходимость разработки проектной документации на объект капитального строительства, а также устанавливаются требования к содержанию разделов такой проектной документации для строительства, реконструкции, капитального ремонта различных видов объектов капитального строительства (включая линейные объекты), в том числе состав разделов проектной документации и требования к содержанию разделов такой проектной документации на отдельные этапы строительства, реконструкции объектов капитального строительства.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капитального строительства в зависимости от их функционального назначения и характерных признаков подразделяются на следующие виды: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объекты производственного назначения (здания, строения, сооружения производственного назначения, в том числе объекты обороны и безопасности), за исключением линейных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объекты непроизводственного назначения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линейные объекты (трубопроводы, автомобильные и железные дороги, линии электропередачи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статьей 128</w:t>
        </w:r>
      </w:hyperlink>
      <w:r>
        <w:rPr>
          <w:sz w:val="24"/>
        </w:rPr>
        <w:t xml:space="preserve"> Гражданского кодекса Российской Федерации (далее - ГК РФ) к объектам гражданских прав относятся вещи.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Исходя из положений </w:t>
      </w:r>
      <w:hyperlink w:history="0" r:id="rId1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пункта 1 статьи 130</w:t>
        </w:r>
      </w:hyperlink>
      <w:r>
        <w:rPr>
          <w:sz w:val="24"/>
        </w:rPr>
        <w:t xml:space="preserve"> ГК РФ следует, что к недвижимым вещам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 Согласно </w:t>
      </w:r>
      <w:hyperlink w:history="0" r:id="rId1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пункту 1 статьи 131</w:t>
        </w:r>
      </w:hyperlink>
      <w:r>
        <w:rPr>
          <w:sz w:val="24"/>
        </w:rPr>
        <w:t xml:space="preserve"> ГК РФ право собственности и другие вещные права на недвижимые вещи, ограничение этих прав, их возникновение, переход и прекращение подлежат государственной регистрации в ЕГРН.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право собственности может быть зарегистрировано лишь в отношении тех вещей, которые, обладая признаками недвижимости, способны выступать в гражданском обороте в качестве отдельных объектов гражданских прав.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Так, при решении вопроса об отнесении объектов к объектам недвижимости, государственный учет и государственная регистрация прав на которые должны осуществляться в порядке, установленном Федеральным </w:t>
      </w:r>
      <w:hyperlink w:history="0" r:id="rId17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г. N 218-ФЗ "О государственной регистрации недвижимости" (далее - Закон N 218-ФЗ), следует руководствоваться: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наличием у таких объектов признаков, способных относить их в силу природных свойств или на основании закона к недвижимым вещам;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наличием самостоятельного функционального (хозяйственного) назначения;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возможностью выступать в гражданском обороте в качестве самостоятельного объекта гражданских прав.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объекта в качестве объекта недвижимости и подтверждение его существования в качестве такового осуществляются органом кадастрового учета при рассмотрении документов, представленных для осуществления государственного кадастрового учета, с учетом положений нормативных правовых актов, составляющих правовую основу регулирования кадастровых отношений.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Индивидуализация недвижимого имущества осуществляется в процессе кадастрового учета, в результате чего объект получает такие характеристики, которые позволяют однозначно выделить его из других недвижимых вещей.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то же время необходимо учитывать, что в соответствии с </w:t>
      </w:r>
      <w:hyperlink w:history="0" r:id="rId1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4"/>
            <w:color w:val="0000ff"/>
          </w:rPr>
          <w:t xml:space="preserve">пунктом 2 части 2 статьи 29.1</w:t>
        </w:r>
      </w:hyperlink>
      <w:r>
        <w:rPr>
          <w:sz w:val="24"/>
        </w:rPr>
        <w:t xml:space="preserve"> Федерального закона от 24 июля 2007 г. N 221-ФЗ "О кадастровой деятельности" кадастровый инженер обязан отказаться от заключения договора подряда на выполнение кадастровых работ в случае, если объект недвижимости, в отношении которого заказчик кадастровых работ предполагает выполнение таких работ, не является объектом недвижимости, в отношении которого осуществляется кадастровый учет в соответствии с </w:t>
      </w:r>
      <w:hyperlink w:history="0" r:id="rId19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218-ФЗ.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Согласно положениям </w:t>
      </w:r>
      <w:hyperlink w:history="0" r:id="rId2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пункта 1 статьи 130</w:t>
        </w:r>
      </w:hyperlink>
      <w:r>
        <w:rPr>
          <w:sz w:val="24"/>
        </w:rPr>
        <w:t xml:space="preserve"> ГК РФ, </w:t>
      </w:r>
      <w:hyperlink w:history="0" r:id="rId21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частей 6</w:t>
        </w:r>
      </w:hyperlink>
      <w:r>
        <w:rPr>
          <w:sz w:val="24"/>
        </w:rPr>
        <w:t xml:space="preserve">, </w:t>
      </w:r>
      <w:hyperlink w:history="0" r:id="rId22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7 статьи 1</w:t>
        </w:r>
      </w:hyperlink>
      <w:r>
        <w:rPr>
          <w:sz w:val="24"/>
        </w:rPr>
        <w:t xml:space="preserve"> Закона N 218-ФЗ объекты, которые связаны с землей так, что их перемещение без несоразмерного ущерба их назначению невозможно, в том числе здания, сооружения, объекты незавершенного строительства, являются объектами недвижимости, в отношении которых осуществляется государственный кадастровый учет и права на которые подлежат государственной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Верховным Судом Российской Федерации отмечается, что для признания имущества недвижимым необходимо представить доказательства возведения его в установленном законом и иными нормативными актами порядке на земельном участке, предоставленном для строительства объекта недвижимости, с получением разрешительной документации (например, определения Верховного Суда Российской Федерации от 22 декабря 2015 г. </w:t>
      </w:r>
      <w:hyperlink w:history="0" r:id="rId23" w:tooltip="Определение Судебной коллегии по экономическим спорам Верховного Суда РФ от 22.12.2015 по делу N 304-ЭС15-11476, А27-18141/2014 Требование: О признании отсутствующим зарегистрированного права собственности ответчика на нежилое здание. Обстоятельства: Истец ссылается на то, что спорный объект не является объектом недвижимости, земельный участок, на котором он расположен, был предоставлен для размещения временного сооружения, для строительства какого-либо объекта недвижимости указанный участок не предоставлял {КонсультантПлюс}">
        <w:r>
          <w:rPr>
            <w:sz w:val="24"/>
            <w:color w:val="0000ff"/>
          </w:rPr>
          <w:t xml:space="preserve">N 304-ЭС15-11476,</w:t>
        </w:r>
      </w:hyperlink>
      <w:r>
        <w:rPr>
          <w:sz w:val="24"/>
        </w:rPr>
        <w:t xml:space="preserve"> от 2 февраля 2021 г. </w:t>
      </w:r>
      <w:hyperlink w:history="0" r:id="rId24" w:tooltip="Определение Верховного Суда РФ от 02.02.2021 N 306-ЭС20-23816 по делу N А12-35181/2019 Требование: О пересмотре в кассационном порядке судебных актов по делу о признании отсутствующим права собственности на сооружения, обязании освободить земельный участок, занимаемый названными сооружениями, путем демонтажа. Обжалуемый результат спора: Требование удовлетворено, поскольку доводы органа по управлению муниципальным имуществом подтверждены, основания для нахождения сооружений общества на спорном земельном учас {КонсультантПлюс}">
        <w:r>
          <w:rPr>
            <w:sz w:val="24"/>
            <w:color w:val="0000ff"/>
          </w:rPr>
          <w:t xml:space="preserve">N 306-ЭС20-23816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тем следует отметить, что согласно мнению Президиума Высшего Арбитражного Суда Российской Федерации (</w:t>
      </w:r>
      <w:hyperlink w:history="0" r:id="rId25" w:tooltip="Постановление Президиума ВАС РФ от 24.09.2013 N 1160/13 по делу N А76-1598/2012 Требование: Об оспаривании отказа в госрегистрации, обязании провести госрегистрацию права собственности. Обстоятельства: Заявитель считает, что ответчик необоснованно сослался на непредставление документа, подтверждающего принадлежность ограждения к категории вспомогательных объектов, и незаконно отказал в регистрации права. Решение: В удовлетворении требований отказано, так как у ограждения отсутствуют качества самостоятельног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от 24 сентября 2013 г. N 1160/13 по делу N А76-1598/2012), по смыслу положений гражданского законодательства право собственности может быть зарегистрировано в едином государственном реестре лишь в отношении тех вещей, которые, обладая признаками недвижимости, способны выступать в гражданском обороте в качестве отдельных объектов гражданских прав.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в связи с отсутствием у вещи качеств самостоятельного объекта недвижимости право собственности на него не подлежит регистрации независимо от его физических характеристик и наличия отдельных элементов, обеспечивающих прочную связь этого сооружения с соответствующим земельным участком.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Данная позиция поддерживается Верховным Судом Российской Федерации (</w:t>
      </w:r>
      <w:hyperlink w:history="0" r:id="rId26" w:tooltip="Определение Верховного Суда РФ от 23.01.2015 N 305-ЭС14-7970 по делу N А40-94643/13 Требование: О пересмотре в кассационном порядке судебных актов по делу о признании незаконным отказа в государственной регистрации права собственности на объекты недвижимости, об обязании зарегистрировать право собственности. Обжалуемый результат спора: В удовлетворении требования отказано, поскольку спорные сооружения не имеют самостоятельного хозяйственного назначения, не являются отдельным объектом гражданского оборота, в {КонсультантПлюс}">
        <w:r>
          <w:rPr>
            <w:sz w:val="24"/>
            <w:color w:val="0000ff"/>
          </w:rPr>
          <w:t xml:space="preserve">определение</w:t>
        </w:r>
      </w:hyperlink>
      <w:r>
        <w:rPr>
          <w:sz w:val="24"/>
        </w:rPr>
        <w:t xml:space="preserve"> от 23 января 2015 г. N 305-ЭС14-7970 по делу N А40-94643/13).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сложившаяся практика правоприменения и требования действующего законодательства указывают на то, что вопрос отнесения создаваемого сооружения к недвижимости должен определяться на этапе проектирования такого объекта, и по результатам строительства такой объект должен отвечать признакам недвижимости, определенным </w:t>
      </w:r>
      <w:hyperlink w:history="0" r:id="rId2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ГК</w:t>
        </w:r>
      </w:hyperlink>
      <w:r>
        <w:rPr>
          <w:sz w:val="24"/>
        </w:rPr>
        <w:t xml:space="preserve"> РФ, и быть способным выступать в гражданском обороте в качестве отдельного объекта гражданских прав.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8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директора Департамента</w:t>
      </w:r>
    </w:p>
    <w:p>
      <w:pPr>
        <w:pStyle w:val="0"/>
        <w:jc w:val="right"/>
      </w:pPr>
      <w:r>
        <w:rPr>
          <w:sz w:val="24"/>
        </w:rPr>
        <w:t xml:space="preserve">градостроительной деятельности</w:t>
      </w:r>
    </w:p>
    <w:p>
      <w:pPr>
        <w:pStyle w:val="0"/>
        <w:jc w:val="right"/>
      </w:pPr>
      <w:r>
        <w:rPr>
          <w:sz w:val="24"/>
        </w:rPr>
        <w:t xml:space="preserve">и архитектуры</w:t>
      </w:r>
    </w:p>
    <w:p>
      <w:pPr>
        <w:pStyle w:val="0"/>
        <w:jc w:val="right"/>
      </w:pPr>
      <w:r>
        <w:rPr>
          <w:sz w:val="24"/>
        </w:rPr>
        <w:t xml:space="preserve">Е.Б.БОБРЫШЕВ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07.08.2025 N 46420-ЕБ/08</w:t>
            <w:br/>
            <w:t>&lt;По вопросу разъяснения градостроительного законодательства&gt;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Минстроя России от 07.08.2025 N 46420-ЕБ/08 &lt;По вопросу разъяснения градостроительного законодательства&gt;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7478&amp;date=19.09.2025&amp;dst=100015&amp;field=134" TargetMode = "External"/>
	<Relationship Id="rId7" Type="http://schemas.openxmlformats.org/officeDocument/2006/relationships/hyperlink" Target="https://login.consultant.ru/link/?req=doc&amp;base=LAW&amp;n=511394&amp;date=19.09.2025&amp;dst=2428&amp;field=134" TargetMode = "External"/>
	<Relationship Id="rId8" Type="http://schemas.openxmlformats.org/officeDocument/2006/relationships/hyperlink" Target="https://login.consultant.ru/link/?req=doc&amp;base=LAW&amp;n=511394&amp;date=19.09.2025&amp;dst=2429&amp;field=134" TargetMode = "External"/>
	<Relationship Id="rId9" Type="http://schemas.openxmlformats.org/officeDocument/2006/relationships/hyperlink" Target="https://login.consultant.ru/link/?req=doc&amp;base=LAW&amp;n=511394&amp;date=19.09.2025&amp;dst=4637&amp;field=134" TargetMode = "External"/>
	<Relationship Id="rId10" Type="http://schemas.openxmlformats.org/officeDocument/2006/relationships/hyperlink" Target="https://login.consultant.ru/link/?req=doc&amp;base=LAW&amp;n=511394&amp;date=19.09.2025&amp;dst=4636&amp;field=134" TargetMode = "External"/>
	<Relationship Id="rId11" Type="http://schemas.openxmlformats.org/officeDocument/2006/relationships/hyperlink" Target="https://login.consultant.ru/link/?req=doc&amp;base=LAW&amp;n=471020&amp;date=19.09.2025&amp;dst=100061&amp;field=134" TargetMode = "External"/>
	<Relationship Id="rId12" Type="http://schemas.openxmlformats.org/officeDocument/2006/relationships/hyperlink" Target="https://login.consultant.ru/link/?req=doc&amp;base=LAW&amp;n=495435&amp;date=19.09.2025&amp;dst=266&amp;field=134" TargetMode = "External"/>
	<Relationship Id="rId13" Type="http://schemas.openxmlformats.org/officeDocument/2006/relationships/hyperlink" Target="https://login.consultant.ru/link/?req=doc&amp;base=LAW&amp;n=511394&amp;date=19.09.2025&amp;dst=4448&amp;field=134" TargetMode = "External"/>
	<Relationship Id="rId14" Type="http://schemas.openxmlformats.org/officeDocument/2006/relationships/hyperlink" Target="https://login.consultant.ru/link/?req=doc&amp;base=LAW&amp;n=508490&amp;date=19.09.2025&amp;dst=554&amp;field=134" TargetMode = "External"/>
	<Relationship Id="rId15" Type="http://schemas.openxmlformats.org/officeDocument/2006/relationships/hyperlink" Target="https://login.consultant.ru/link/?req=doc&amp;base=LAW&amp;n=508490&amp;date=19.09.2025&amp;dst=42&amp;field=134" TargetMode = "External"/>
	<Relationship Id="rId16" Type="http://schemas.openxmlformats.org/officeDocument/2006/relationships/hyperlink" Target="https://login.consultant.ru/link/?req=doc&amp;base=LAW&amp;n=508490&amp;date=19.09.2025&amp;dst=102173&amp;field=134" TargetMode = "External"/>
	<Relationship Id="rId17" Type="http://schemas.openxmlformats.org/officeDocument/2006/relationships/hyperlink" Target="https://login.consultant.ru/link/?req=doc&amp;base=LAW&amp;n=500339&amp;date=19.09.2025" TargetMode = "External"/>
	<Relationship Id="rId18" Type="http://schemas.openxmlformats.org/officeDocument/2006/relationships/hyperlink" Target="https://login.consultant.ru/link/?req=doc&amp;base=LAW&amp;n=511566&amp;date=19.09.2025&amp;dst=916&amp;field=134" TargetMode = "External"/>
	<Relationship Id="rId19" Type="http://schemas.openxmlformats.org/officeDocument/2006/relationships/hyperlink" Target="https://login.consultant.ru/link/?req=doc&amp;base=LAW&amp;n=500339&amp;date=19.09.2025" TargetMode = "External"/>
	<Relationship Id="rId20" Type="http://schemas.openxmlformats.org/officeDocument/2006/relationships/hyperlink" Target="https://login.consultant.ru/link/?req=doc&amp;base=LAW&amp;n=508490&amp;date=19.09.2025&amp;dst=42&amp;field=134" TargetMode = "External"/>
	<Relationship Id="rId21" Type="http://schemas.openxmlformats.org/officeDocument/2006/relationships/hyperlink" Target="https://login.consultant.ru/link/?req=doc&amp;base=LAW&amp;n=500339&amp;date=19.09.2025&amp;dst=100015&amp;field=134" TargetMode = "External"/>
	<Relationship Id="rId22" Type="http://schemas.openxmlformats.org/officeDocument/2006/relationships/hyperlink" Target="https://login.consultant.ru/link/?req=doc&amp;base=LAW&amp;n=500339&amp;date=19.09.2025&amp;dst=100957&amp;field=134" TargetMode = "External"/>
	<Relationship Id="rId23" Type="http://schemas.openxmlformats.org/officeDocument/2006/relationships/hyperlink" Target="https://login.consultant.ru/link/?req=doc&amp;base=ARB&amp;n=447574&amp;date=19.09.2025" TargetMode = "External"/>
	<Relationship Id="rId24" Type="http://schemas.openxmlformats.org/officeDocument/2006/relationships/hyperlink" Target="https://login.consultant.ru/link/?req=doc&amp;base=ARB&amp;n=654490&amp;date=19.09.2025" TargetMode = "External"/>
	<Relationship Id="rId25" Type="http://schemas.openxmlformats.org/officeDocument/2006/relationships/hyperlink" Target="https://login.consultant.ru/link/?req=doc&amp;base=ARB&amp;n=379743&amp;date=19.09.2025" TargetMode = "External"/>
	<Relationship Id="rId26" Type="http://schemas.openxmlformats.org/officeDocument/2006/relationships/hyperlink" Target="https://login.consultant.ru/link/?req=doc&amp;base=ARB&amp;n=416408&amp;date=19.09.2025" TargetMode = "External"/>
	<Relationship Id="rId27" Type="http://schemas.openxmlformats.org/officeDocument/2006/relationships/hyperlink" Target="https://login.consultant.ru/link/?req=doc&amp;base=LAW&amp;n=508490&amp;date=19.09.2025" TargetMode = "External"/>
	<Relationship Id="rId28" Type="http://schemas.openxmlformats.org/officeDocument/2006/relationships/hyperlink" Target="https://login.consultant.ru/link/?req=doc&amp;base=LAW&amp;n=490536&amp;date=19.09.2025&amp;dst=15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07.08.2025 N 46420-ЕБ/08
&lt;По вопросу разъяснения градостроительного законодательства&gt;</dc:title>
  <dcterms:created xsi:type="dcterms:W3CDTF">2025-09-19T05:37:19Z</dcterms:created>
</cp:coreProperties>
</file>