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ЦЕНТРАЛЬНЫЙ БАНК РОССИЙСКОЙ ФЕДЕРАЦИИ</w:t>
      </w:r>
    </w:p>
    <w:p>
      <w:pPr>
        <w:pStyle w:val="2"/>
        <w:jc w:val="center"/>
      </w:pPr>
      <w:r>
        <w:rPr>
          <w:sz w:val="24"/>
        </w:rPr>
      </w:r>
    </w:p>
    <w:p>
      <w:pPr>
        <w:pStyle w:val="2"/>
        <w:jc w:val="center"/>
      </w:pPr>
      <w:r>
        <w:rPr>
          <w:sz w:val="24"/>
        </w:rPr>
        <w:t xml:space="preserve">ИНФОРМАЦИЯ</w:t>
      </w:r>
    </w:p>
    <w:p>
      <w:pPr>
        <w:pStyle w:val="2"/>
        <w:jc w:val="center"/>
      </w:pPr>
      <w:r>
        <w:rPr>
          <w:sz w:val="24"/>
        </w:rPr>
        <w:t xml:space="preserve">от 13 февраля 2026 года</w:t>
      </w:r>
    </w:p>
    <w:p>
      <w:pPr>
        <w:pStyle w:val="2"/>
        <w:jc w:val="center"/>
      </w:pPr>
      <w:r>
        <w:rPr>
          <w:sz w:val="24"/>
        </w:rPr>
      </w:r>
    </w:p>
    <w:p>
      <w:pPr>
        <w:pStyle w:val="2"/>
        <w:jc w:val="center"/>
      </w:pPr>
      <w:r>
        <w:rPr>
          <w:sz w:val="24"/>
        </w:rPr>
        <w:t xml:space="preserve">БАНК РОССИИ ПРИНЯЛ РЕШЕНИЕ</w:t>
      </w:r>
    </w:p>
    <w:p>
      <w:pPr>
        <w:pStyle w:val="2"/>
        <w:jc w:val="center"/>
      </w:pPr>
      <w:r>
        <w:rPr>
          <w:sz w:val="24"/>
        </w:rPr>
        <w:t xml:space="preserve">СНИЗИТЬ КЛЮЧЕВУЮ СТАВКУ НА 50 Б.П., ДО 15,50% ГОДОВЫХ</w:t>
      </w:r>
    </w:p>
    <w:p>
      <w:pPr>
        <w:pStyle w:val="0"/>
        <w:ind w:firstLine="540"/>
        <w:jc w:val="both"/>
      </w:pPr>
      <w:r>
        <w:rPr>
          <w:sz w:val="24"/>
        </w:rPr>
      </w:r>
    </w:p>
    <w:p>
      <w:pPr>
        <w:pStyle w:val="0"/>
        <w:ind w:firstLine="540"/>
        <w:jc w:val="both"/>
      </w:pPr>
      <w:r>
        <w:rPr>
          <w:sz w:val="24"/>
        </w:rPr>
        <w:t xml:space="preserve">Совет директоров Банка России 13 февраля 2026 года принял решение снизить ключевую ставку на 50 б.п., до 15,50% годовых. Экономика продолжает возвращаться к траектории сбалансированного роста. В январе рост цен значимо ускорился под влиянием разовых факторов. При этом устойчивые показатели текущего роста цен, по оценке Банка России, существенно не изменились. После исчерпания влияния разовых факторов инфляция возобновит снижение.</w:t>
      </w:r>
    </w:p>
    <w:p>
      <w:pPr>
        <w:pStyle w:val="0"/>
        <w:spacing w:before="240" w:lineRule="auto"/>
        <w:ind w:firstLine="540"/>
        <w:jc w:val="both"/>
      </w:pPr>
      <w:r>
        <w:rPr>
          <w:sz w:val="24"/>
        </w:rPr>
        <w:t xml:space="preserve">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и динамики инфляционных ожиданий. Базовый сценарий предполагает среднюю ключевую ставку в диапазоне 13,5 - 14,5% годовых в 2026 году. Это означает поддержание жестких денежно-кредитных условий. По прогнозу Банка России, с учетом проводимой денежно-кредитной политики годовая инфляция снизится до 4,5 - 5,5% в 2026 году. Устойчивая инфляция сложится вблизи 4% во втором полугодии 2026 года. В 2027 году и далее годовая инфляция будет находиться на цели.</w:t>
      </w:r>
    </w:p>
    <w:p>
      <w:pPr>
        <w:pStyle w:val="0"/>
        <w:spacing w:before="240" w:lineRule="auto"/>
        <w:ind w:firstLine="540"/>
        <w:jc w:val="both"/>
      </w:pPr>
      <w:r>
        <w:rPr>
          <w:sz w:val="24"/>
        </w:rPr>
        <w:t xml:space="preserve">В 4к25 текущий рост цен с поправкой на сезонность замедлился в среднем до 3,9% в пересчете на год после 6,5% в 3к25. Аналогичный показатель базовой инфляции в среднем составил 4,7% после 4,1% в предыдущем квартале. Большинство устойчивых показателей инфляции в пересчете на год в последние месяцы сохранялись в диапазоне 4 - 5%. Годовая инфляция, по оценке на 9 февраля, составила 6,3%.</w:t>
      </w:r>
    </w:p>
    <w:p>
      <w:pPr>
        <w:pStyle w:val="0"/>
        <w:spacing w:before="240" w:lineRule="auto"/>
        <w:ind w:firstLine="540"/>
        <w:jc w:val="both"/>
      </w:pPr>
      <w:r>
        <w:rPr>
          <w:sz w:val="24"/>
        </w:rPr>
        <w:t xml:space="preserve">В конце 2025 года наблюдались очень низкие темпы роста цен на ряд товаров, в первую очередь на плодоовощную продукцию. С учетом этого и отсутствия значимого переноса повышения НДС в цены в декабре, инфляция по итогам 2025 года сложилась ниже октябрьского прогноза Банка России и составила 5,6%. Однако в начале 2026 года влияние этих факторов на динамику цен стало противоположным. Повышение НДС, акцизов, индексация регулируемых цен и тарифов, коррекция цен на плодоовощную продукцию привели к временному, но значительному ускорению текущего роста цен в январе.</w:t>
      </w:r>
    </w:p>
    <w:p>
      <w:pPr>
        <w:pStyle w:val="0"/>
        <w:spacing w:before="240" w:lineRule="auto"/>
        <w:ind w:firstLine="540"/>
        <w:jc w:val="both"/>
      </w:pPr>
      <w:r>
        <w:rPr>
          <w:sz w:val="24"/>
        </w:rPr>
        <w:t xml:space="preserve">Таким образом, наблюдалось некоторое перераспределение инфляции между 2025 и 2026 годами. Но в целом накопленный рост цен с ноября по январь соответствует ожиданиям Банка России. Устойчивая инфляция снизится до 4% во втором полугодии 2026 года. Однако с учетом смещения роста цен с конца прошлого года на начало текущего прогноз инфляции на 2026 год повышен до 4,5 - 5,5%.</w:t>
      </w:r>
    </w:p>
    <w:p>
      <w:pPr>
        <w:pStyle w:val="0"/>
        <w:spacing w:before="240" w:lineRule="auto"/>
        <w:ind w:firstLine="540"/>
        <w:jc w:val="both"/>
      </w:pPr>
      <w:r>
        <w:rPr>
          <w:sz w:val="24"/>
        </w:rPr>
        <w:t xml:space="preserve">Инфляционные ожидания сохраняются на повышенном уровне. Это может препятствовать устойчивому замедлению инфляции.</w:t>
      </w:r>
    </w:p>
    <w:p>
      <w:pPr>
        <w:pStyle w:val="0"/>
        <w:spacing w:before="240" w:lineRule="auto"/>
        <w:ind w:firstLine="540"/>
        <w:jc w:val="both"/>
      </w:pPr>
      <w:r>
        <w:rPr>
          <w:sz w:val="24"/>
        </w:rPr>
        <w:t xml:space="preserve">Отклонение российской экономики вверх от траектории сбалансированного роста уменьшается. По итогам 2025 года рост ВВП сложился по верхней границе октябрьского прогнозного диапазона и составил 1,0%. Хотя рост общей экономической активности в целом за год замедлился, в 4к25 он усилился из-за увеличения потребительского спроса. Это частично могло быть связано с ожиданиями повышения НДС и утилизационного сбора. В ближайшие месяцы рост внутреннего спроса будет более сдержанным. На это также указывают деловые настроения бизнеса.</w:t>
      </w:r>
    </w:p>
    <w:p>
      <w:pPr>
        <w:pStyle w:val="0"/>
        <w:spacing w:before="240" w:lineRule="auto"/>
        <w:ind w:firstLine="540"/>
        <w:jc w:val="both"/>
      </w:pPr>
      <w:r>
        <w:rPr>
          <w:sz w:val="24"/>
        </w:rPr>
        <w:t xml:space="preserve">Напряженность на рынке труда постепенно снижается. По данным опросов, доля предприятий, испытывающих дефицит кадров, достигла минимального значения с середины 2023 года. Компании планируют более умеренные индексации зарплат в 2026 году по сравнению с 2023 - 2025 годами. При этом безработица остается на исторических минимумах, а рост зарплат продолжает опережать рост производительности труда.</w:t>
      </w:r>
    </w:p>
    <w:p>
      <w:pPr>
        <w:pStyle w:val="0"/>
        <w:spacing w:before="240" w:lineRule="auto"/>
        <w:ind w:firstLine="540"/>
        <w:jc w:val="both"/>
      </w:pPr>
      <w:r>
        <w:rPr>
          <w:sz w:val="24"/>
        </w:rPr>
        <w:t xml:space="preserve">Денежно-кредитные условия смягчились, но остаются жесткими. Кредитные и депозитные ставки уменьшились, подстраиваясь к уже реализованному смягчению денежно-кредитной политики. Ставки денежного рынка и доходности ОФЗ выросли, но в реальном выражении существенно не изменились. Неценовые условия банковского кредитования по-прежнему жесткие.</w:t>
      </w:r>
    </w:p>
    <w:p>
      <w:pPr>
        <w:pStyle w:val="0"/>
        <w:spacing w:before="240" w:lineRule="auto"/>
        <w:ind w:firstLine="540"/>
        <w:jc w:val="both"/>
      </w:pPr>
      <w:r>
        <w:rPr>
          <w:sz w:val="24"/>
        </w:rPr>
        <w:t xml:space="preserve">Кредитная активность в конце 2025 - начале 2026 года была сдержанной после повышенных темпов роста в осенние месяцы. Склонность домашних хозяйств к сбережению остается высокой.</w:t>
      </w:r>
    </w:p>
    <w:p>
      <w:pPr>
        <w:pStyle w:val="0"/>
        <w:spacing w:before="240" w:lineRule="auto"/>
        <w:ind w:firstLine="540"/>
        <w:jc w:val="both"/>
      </w:pPr>
      <w:r>
        <w:rPr>
          <w:sz w:val="24"/>
        </w:rPr>
        <w:t xml:space="preserve">Проинфляционные риски по-прежнему преобладают над дезинфляционными на среднесрочном горизонте. Основные проинфляционные риски связаны с более длительным отклонением российской экономики вверх от траектории сбалансированного роста и высокими инфляционными ожиданиями, эффектами от повышения НДС и регулируемых цен, а также с ухудшением условий внешней торговли. Замедление роста мировой экономики в случае усиления торговых противоречий и низкие цены на нефть могут иметь проинфляционные эффекты через динамику курса рубля. Значимым фактором неопределенности остается геополитическая напряженность. Дезинфляционные риски связаны с более значительным замедлением внутреннего спроса.</w:t>
      </w:r>
    </w:p>
    <w:p>
      <w:pPr>
        <w:pStyle w:val="0"/>
        <w:spacing w:before="240" w:lineRule="auto"/>
        <w:ind w:firstLine="540"/>
        <w:jc w:val="both"/>
      </w:pPr>
      <w:r>
        <w:rPr>
          <w:sz w:val="24"/>
        </w:rPr>
        <w:t xml:space="preserve">Банк России исходит из объявленных параметров бюджетной политики. На среднесрочном горизонте бюджетная политика будет способствовать замедлению инфляции. В случае изменения параметров бюджетной политики может потребоваться корректировка проводимой денежно-кредитной политики.</w:t>
      </w:r>
    </w:p>
    <w:p>
      <w:pPr>
        <w:pStyle w:val="0"/>
        <w:spacing w:before="240" w:lineRule="auto"/>
        <w:ind w:firstLine="540"/>
        <w:jc w:val="both"/>
      </w:pPr>
      <w:r>
        <w:rPr>
          <w:sz w:val="24"/>
        </w:rPr>
        <w:t xml:space="preserve">По итогам заседания Совета директоров по ключевой ставке 13 февраля 2026 года Банк России обновил </w:t>
      </w:r>
      <w:hyperlink w:history="0" r:id="rId7" w:tooltip="&quot;Среднесрочный прогноз Банка России по итогам заседания Совета директоров по ключевой ставке 13 февраля 2026 года&quot; (разработан Банком России) {КонсультантПлюс}">
        <w:r>
          <w:rPr>
            <w:sz w:val="24"/>
            <w:color w:val="0000ff"/>
          </w:rPr>
          <w:t xml:space="preserve">среднесрочный прогноз</w:t>
        </w:r>
      </w:hyperlink>
      <w:r>
        <w:rPr>
          <w:sz w:val="24"/>
        </w:rPr>
        <w:t xml:space="preserve">.</w:t>
      </w:r>
    </w:p>
    <w:p>
      <w:pPr>
        <w:pStyle w:val="0"/>
        <w:spacing w:before="240" w:lineRule="auto"/>
        <w:ind w:firstLine="540"/>
        <w:jc w:val="both"/>
      </w:pPr>
      <w:r>
        <w:rPr>
          <w:sz w:val="24"/>
        </w:rPr>
        <w:t xml:space="preserve">26 февраля 2026 года Банк России опубликует Резюме обсуждения ключевой ставки и Комментарий к среднесрочному прогнозу.</w:t>
      </w:r>
    </w:p>
    <w:p>
      <w:pPr>
        <w:pStyle w:val="0"/>
        <w:spacing w:before="240" w:lineRule="auto"/>
        <w:ind w:firstLine="540"/>
        <w:jc w:val="both"/>
      </w:pPr>
      <w:r>
        <w:rPr>
          <w:sz w:val="24"/>
        </w:rPr>
        <w:t xml:space="preserve">Следующее заседание Совета директоров Банка России, на котором будет рассматриваться вопрос об уровне ключевой ставки, запланировано на 20 марта 2026 года. Время публикации пресс-релиза о решении Совета директоров Банка России - 13:30 по московскому времени.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Информация Банка России от 13.02.2026</w:t>
            <w:br/>
            <w:t>"Банк России принял решение снизить ключевую ставку на 50 б.п., до 15,50% годовых"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Информация Банка России от 13.02.2026 "Банк России принял решение снизить ключевую ставку на 50 б.п., до 15,50% годовых"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26476&amp;date=16.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Банка России от 13.02.2026
"Банк России принял решение снизить ключевую ставку на 50 б.п., до 15,50% годовых"</dc:title>
  <dcterms:created xsi:type="dcterms:W3CDTF">2026-02-16T04:30:59Z</dcterms:created>
</cp:coreProperties>
</file>