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13.04.2026 N 829-р</w:t>
              <w:br/>
              <w:t xml:space="preserve">&lt;О внесении изменений в перечень услуг, утв. Распоряжением Правительства РФ от 25.04.2011 N 729-р&gt;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РАСПОРЯЖЕНИЕ</w:t>
      </w:r>
    </w:p>
    <w:p>
      <w:pPr>
        <w:pStyle w:val="2"/>
        <w:jc w:val="center"/>
      </w:pPr>
      <w:r>
        <w:rPr>
          <w:sz w:val="24"/>
        </w:rPr>
        <w:t xml:space="preserve">от 13 апреля 2026 г. N 829-р</w:t>
      </w:r>
    </w:p>
    <w:p>
      <w:pPr>
        <w:pStyle w:val="0"/>
        <w:jc w:val="center"/>
      </w:pPr>
      <w:r>
        <w:rPr>
          <w:sz w:val="24"/>
        </w:rPr>
      </w:r>
    </w:p>
    <w:p>
      <w:pPr>
        <w:pStyle w:val="0"/>
        <w:ind w:firstLine="540"/>
        <w:jc w:val="both"/>
      </w:pPr>
      <w:r>
        <w:rPr>
          <w:sz w:val="24"/>
        </w:rPr>
        <w:t xml:space="preserve">Утвердить прилагаемые </w:t>
      </w:r>
      <w:hyperlink w:history="0" w:anchor="P21" w:tooltip="ИЗМЕНЕНИЯ,">
        <w:r>
          <w:rPr>
            <w:sz w:val="24"/>
            <w:color w:val="0000ff"/>
          </w:rPr>
          <w:t xml:space="preserve">изменения</w:t>
        </w:r>
      </w:hyperlink>
      <w:r>
        <w:rPr>
          <w:sz w:val="24"/>
        </w:rPr>
        <w:t xml:space="preserve">, которые вносятся в </w:t>
      </w:r>
      <w:hyperlink w:history="0" r:id="rId8"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 Недействующая редакция {КонсультантПлюс}">
        <w:r>
          <w:rPr>
            <w:sz w:val="24"/>
            <w:color w:val="0000ff"/>
          </w:rPr>
          <w:t xml:space="preserve">перечень</w:t>
        </w:r>
      </w:hyperlink>
      <w:r>
        <w:rPr>
          <w:sz w:val="24"/>
        </w:rPr>
        <w:t xml:space="preserve">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утвержденный распоряжением Правительства Российской Федерации от 25 апреля 2011 г. N 729-р (Собрание законодательства Российской Федерации, 2011, N 18, ст. 2679).</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13 апреля 2026 г. N 829-р</w:t>
      </w:r>
    </w:p>
    <w:p>
      <w:pPr>
        <w:pStyle w:val="0"/>
        <w:jc w:val="center"/>
      </w:pPr>
      <w:r>
        <w:rPr>
          <w:sz w:val="24"/>
        </w:rPr>
      </w:r>
    </w:p>
    <w:bookmarkStart w:id="21" w:name="P21"/>
    <w:bookmarkEnd w:id="21"/>
    <w:p>
      <w:pPr>
        <w:pStyle w:val="2"/>
        <w:jc w:val="center"/>
      </w:pPr>
      <w:r>
        <w:rPr>
          <w:sz w:val="24"/>
        </w:rPr>
        <w:t xml:space="preserve">ИЗМЕНЕНИЯ,</w:t>
      </w:r>
    </w:p>
    <w:p>
      <w:pPr>
        <w:pStyle w:val="2"/>
        <w:jc w:val="center"/>
      </w:pPr>
      <w:r>
        <w:rPr>
          <w:sz w:val="24"/>
        </w:rPr>
        <w:t xml:space="preserve">КОТОРЫЕ ВНОСЯТСЯ В ПЕРЕЧЕНЬ УСЛУГ, ОКАЗЫВАЕМЫХ</w:t>
      </w:r>
    </w:p>
    <w:p>
      <w:pPr>
        <w:pStyle w:val="2"/>
        <w:jc w:val="center"/>
      </w:pPr>
      <w:r>
        <w:rPr>
          <w:sz w:val="24"/>
        </w:rPr>
        <w:t xml:space="preserve">ГОСУДАРСТВЕННЫМИ И МУНИЦИПАЛЬНЫМИ УЧРЕЖДЕНИЯМИ И ДРУГИМИ</w:t>
      </w:r>
    </w:p>
    <w:p>
      <w:pPr>
        <w:pStyle w:val="2"/>
        <w:jc w:val="center"/>
      </w:pPr>
      <w:r>
        <w:rPr>
          <w:sz w:val="24"/>
        </w:rPr>
        <w:t xml:space="preserve">ОРГАНИЗАЦИЯМИ, В КОТОРЫХ РАЗМЕЩАЕТСЯ ГОСУДАРСТВЕННОЕ ЗАДАНИЕ</w:t>
      </w:r>
    </w:p>
    <w:p>
      <w:pPr>
        <w:pStyle w:val="2"/>
        <w:jc w:val="center"/>
      </w:pPr>
      <w:r>
        <w:rPr>
          <w:sz w:val="24"/>
        </w:rPr>
        <w:t xml:space="preserve">(ЗАКАЗ) ИЛИ МУНИЦИПАЛЬНОЕ ЗАДАНИЕ (ЗАКАЗ), ПОДЛЕЖАЩИХ</w:t>
      </w:r>
    </w:p>
    <w:p>
      <w:pPr>
        <w:pStyle w:val="2"/>
        <w:jc w:val="center"/>
      </w:pPr>
      <w:r>
        <w:rPr>
          <w:sz w:val="24"/>
        </w:rPr>
        <w:t xml:space="preserve">ВКЛЮЧЕНИЮ В РЕЕСТРЫ ГОСУДАРСТВЕННЫХ ИЛИ МУНИЦИПАЛЬНЫХ</w:t>
      </w:r>
    </w:p>
    <w:p>
      <w:pPr>
        <w:pStyle w:val="2"/>
        <w:jc w:val="center"/>
      </w:pPr>
      <w:r>
        <w:rPr>
          <w:sz w:val="24"/>
        </w:rPr>
        <w:t xml:space="preserve">УСЛУГ И ПРЕДОСТАВЛЯЕМЫХ В ЭЛЕКТРОННОЙ ФОРМЕ</w:t>
      </w:r>
    </w:p>
    <w:p>
      <w:pPr>
        <w:pStyle w:val="0"/>
        <w:ind w:firstLine="540"/>
        <w:jc w:val="both"/>
      </w:pPr>
      <w:r>
        <w:rPr>
          <w:sz w:val="24"/>
        </w:rPr>
      </w:r>
    </w:p>
    <w:p>
      <w:pPr>
        <w:pStyle w:val="0"/>
        <w:ind w:firstLine="540"/>
        <w:jc w:val="both"/>
      </w:pPr>
      <w:hyperlink w:history="0" r:id="rId9"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 Недействующая редакция {КонсультантПлюс}">
        <w:r>
          <w:rPr>
            <w:sz w:val="24"/>
            <w:color w:val="0000ff"/>
          </w:rPr>
          <w:t xml:space="preserve">Раздел II</w:t>
        </w:r>
      </w:hyperlink>
      <w:r>
        <w:rPr>
          <w:sz w:val="24"/>
        </w:rPr>
        <w:t xml:space="preserve"> дополнить подразделом "Экономика недвижимости" следующего содержания:</w:t>
      </w:r>
    </w:p>
    <w:p>
      <w:pPr>
        <w:pStyle w:val="0"/>
        <w:ind w:firstLine="540"/>
        <w:jc w:val="both"/>
      </w:pPr>
      <w:r>
        <w:rPr>
          <w:sz w:val="24"/>
        </w:rPr>
      </w:r>
    </w:p>
    <w:p>
      <w:pPr>
        <w:pStyle w:val="0"/>
        <w:jc w:val="center"/>
      </w:pPr>
      <w:r>
        <w:rPr>
          <w:sz w:val="24"/>
        </w:rPr>
        <w:t xml:space="preserve">"Экономика недвижимости</w:t>
      </w:r>
    </w:p>
    <w:p>
      <w:pPr>
        <w:pStyle w:val="0"/>
        <w:ind w:firstLine="540"/>
        <w:jc w:val="both"/>
      </w:pPr>
      <w:r>
        <w:rPr>
          <w:sz w:val="24"/>
        </w:rPr>
      </w:r>
    </w:p>
    <w:p>
      <w:pPr>
        <w:pStyle w:val="0"/>
        <w:ind w:firstLine="540"/>
        <w:jc w:val="both"/>
      </w:pPr>
      <w:r>
        <w:rPr>
          <w:sz w:val="24"/>
        </w:rPr>
        <w:t xml:space="preserve">55(1). Прием декларации о характеристиках объекта недвижимости.</w:t>
      </w:r>
    </w:p>
    <w:p>
      <w:pPr>
        <w:pStyle w:val="0"/>
        <w:spacing w:before="240" w:lineRule="auto"/>
        <w:ind w:firstLine="540"/>
        <w:jc w:val="both"/>
      </w:pPr>
      <w:r>
        <w:rPr>
          <w:sz w:val="24"/>
        </w:rPr>
        <w:t xml:space="preserve">55(2). Прием замечаний к проекту отчета об итогах государственной кадастровой оценки, связанных с определением кадастровой стоимости.</w:t>
      </w:r>
    </w:p>
    <w:p>
      <w:pPr>
        <w:pStyle w:val="0"/>
        <w:spacing w:before="240" w:lineRule="auto"/>
        <w:ind w:firstLine="540"/>
        <w:jc w:val="both"/>
      </w:pPr>
      <w:r>
        <w:rPr>
          <w:sz w:val="24"/>
        </w:rPr>
        <w:t xml:space="preserve">55(3). Прием обращений о предоставлении разъяснений, связанных с определением кадастровой стоимости, а также выдача соответствующих разъяснений.</w:t>
      </w:r>
    </w:p>
    <w:p>
      <w:pPr>
        <w:pStyle w:val="0"/>
        <w:spacing w:before="240" w:lineRule="auto"/>
        <w:ind w:firstLine="540"/>
        <w:jc w:val="both"/>
      </w:pPr>
      <w:r>
        <w:rPr>
          <w:sz w:val="24"/>
        </w:rPr>
        <w:t xml:space="preserve">55(4). Прием заявлений об исправлении ошибок, допущенных при определении кадастровой стоимости, а также выдача решения об удовлетворении заявления об исправлении ошибок, допущенных при определении кадастровой стоимости, и необходимости пересчета кадастровой стоимости в связи с наличием ошибок, допущенных при определении кадастровой стоимости, или решения об отказе в пересчете кадастровой стоимости, если наличие ошибок, допущенных при определении кадастровой стоимости, не выявлено.</w:t>
      </w:r>
    </w:p>
    <w:p>
      <w:pPr>
        <w:pStyle w:val="0"/>
        <w:spacing w:before="240" w:lineRule="auto"/>
        <w:ind w:firstLine="540"/>
        <w:jc w:val="both"/>
      </w:pPr>
      <w:r>
        <w:rPr>
          <w:sz w:val="24"/>
        </w:rPr>
        <w:t xml:space="preserve">55(5). Прием заявлений об установлении кадастровой стоимости объекта недвижимости в размере его рыночной стоимости, а также выдача решения об установлении кадастровой стоимости объекта недвижимости в размере его рыночной стоимости или решения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13.04.2026 N 829-р</w:t>
            <w:br/>
            <w:t>&lt;О внесении изменений в перечень услуг, утв. Распоряжением Правитель...</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12695&amp;date=24.04.2026&amp;dst=100006&amp;field=134" TargetMode = "External"/><Relationship Id="rId9" Type="http://schemas.openxmlformats.org/officeDocument/2006/relationships/hyperlink" Target="https://login.consultant.ru/link/?req=doc&amp;base=LAW&amp;n=312695&amp;date=24.04.2026&amp;dst=10003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13.04.2026 N 829-р
&lt;О внесении изменений в перечень услуг, утв. Распоряжением Правительства РФ от 25.04.2011 N 729-р&gt;</dc:title>
  <dcterms:created xsi:type="dcterms:W3CDTF">2026-04-24T05:02:08Z</dcterms:created>
</cp:coreProperties>
</file>